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line="276" w:lineRule="auto"/>
        <w:ind w:left="0" w:firstLine="0"/>
        <w:jc w:val="both"/>
        <w:rPr>
          <w:rFonts w:ascii="Arial" w:cs="Arial" w:eastAsia="Arial" w:hAnsi="Arial"/>
          <w:sz w:val="46"/>
          <w:szCs w:val="46"/>
        </w:rPr>
      </w:pPr>
      <w:bookmarkStart w:colFirst="0" w:colLast="0" w:name="_heading=h.lvwyqd4x46si" w:id="0"/>
      <w:bookmarkEnd w:id="0"/>
      <w:r w:rsidDel="00000000" w:rsidR="00000000" w:rsidRPr="00000000">
        <w:rPr>
          <w:rFonts w:ascii="Arial" w:cs="Arial" w:eastAsia="Arial" w:hAnsi="Arial"/>
          <w:sz w:val="46"/>
          <w:szCs w:val="46"/>
          <w:rtl w:val="0"/>
        </w:rPr>
        <w:t xml:space="preserve">Anketa Strom roku startuje s deseti výjimečnými finalisty</w:t>
      </w:r>
    </w:p>
    <w:p w:rsidR="00000000" w:rsidDel="00000000" w:rsidP="00000000" w:rsidRDefault="00000000" w:rsidRPr="00000000" w14:paraId="00000002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Nadace Partnerství zahájila hlasování v dalším ročníku oblíbené ankety Strom roku. Občané mohou odevzdat své hlasy zdarma online na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www.stromroku.cz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Hlasování začíná v pondělí 21. července v 8 hodin ráno a pokračuje do 5. října do 23:59. Podpořit lze svůj oblíbený strom jedním hlasem z jedné e-mailové adresy. Vítěz postoupí do zimního evropského kola a zároveň získají první tři stromy odborné ošetření od partnerů soutěže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PROSTROM Bohemia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a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Groown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Fotogalerie jednotlivých stromů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Úvodní video ankety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Tabulka s přehledem finalistů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„Každý strom má svůj příběh a každý finalista ankety Strom roku je jedinečný – pro svou obec, krajinu i pro lidi, kteří s ním žijí. Tyto stromy tu stojí často stovky let díky péči generací před námi. Je na nás, abychom jim zajistili stejnou ochranu, aby mohly být součástí našeho života i v budoucnu. Anketa Strom roku ukazuje, že lidem na stromech záleží – a nejen na těch památných, ale i na těch, které rostou podél cest, v parcích a na sídlištích. Jsou to právě stromy, které nám dávají stín v horku, čistí vzduch, zachycují vodu a vytvářejí domov pro mnoho dalších druhů. Mám radost, že vítězné stromy se díky odbornému ošetření dočkají péče, kterou si zaslouží. Ochrana stromů je v zájmu nás všech a chceme, aby měla pevné místo i v našich zákonech,“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říká Petr Hladík, ministr životního prostředí. 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widowControl w:val="0"/>
        <w:spacing w:line="276" w:lineRule="auto"/>
        <w:ind w:firstLine="567"/>
        <w:jc w:val="both"/>
        <w:rPr>
          <w:rFonts w:ascii="Arial" w:cs="Arial" w:eastAsia="Arial" w:hAnsi="Arial"/>
          <w:sz w:val="34"/>
          <w:szCs w:val="34"/>
        </w:rPr>
      </w:pPr>
      <w:bookmarkStart w:colFirst="0" w:colLast="0" w:name="_heading=h.28zphbgm33so" w:id="1"/>
      <w:bookmarkEnd w:id="1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Zástupci národní dřeviny</w:t>
      </w:r>
    </w:p>
    <w:p w:rsidR="00000000" w:rsidDel="00000000" w:rsidP="00000000" w:rsidRDefault="00000000" w:rsidRPr="00000000" w14:paraId="00000008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Letošní desítka finalistů představuje fascinující kolekci stromů s poutavými příběhy. Do užšího výběru se dostalo několik lip, včetně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Lípy Poustevníka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která hledí k pohoří Jeseníků.</w:t>
      </w:r>
    </w:p>
    <w:p w:rsidR="00000000" w:rsidDel="00000000" w:rsidP="00000000" w:rsidRDefault="00000000" w:rsidRPr="00000000" w14:paraId="00000009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Lípa na Kněžství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 Pardubického kraje stojí jako další národní poklad na křižovatce cest. Každoročně se tu setkávají místní milovníci historie, kteří tvoří živý obraz v krajině.</w:t>
      </w:r>
    </w:p>
    <w:p w:rsidR="00000000" w:rsidDel="00000000" w:rsidP="00000000" w:rsidRDefault="00000000" w:rsidRPr="00000000" w14:paraId="0000000A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Trojici lip uzavírá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Trojiční lípa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 Jihočeského kraje, kterou dal kdysi zasadit doktor Soukup jako památku na zemřelého chlapce, kterému ze strachu odmítl pomoci v dobách cholery.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widowControl w:val="0"/>
        <w:spacing w:line="276" w:lineRule="auto"/>
        <w:ind w:firstLine="567"/>
        <w:jc w:val="both"/>
        <w:rPr>
          <w:rFonts w:ascii="Arial" w:cs="Arial" w:eastAsia="Arial" w:hAnsi="Arial"/>
          <w:sz w:val="34"/>
          <w:szCs w:val="34"/>
        </w:rPr>
      </w:pPr>
      <w:bookmarkStart w:colFirst="0" w:colLast="0" w:name="_heading=h.gocob2b7w7he" w:id="2"/>
      <w:bookmarkEnd w:id="2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Prastarý obr, tichý pamětník a místní hrdina</w:t>
      </w:r>
    </w:p>
    <w:p w:rsidR="00000000" w:rsidDel="00000000" w:rsidP="00000000" w:rsidRDefault="00000000" w:rsidRPr="00000000" w14:paraId="0000000C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První ze dvou soutěžních dubů,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Oldřichův dub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se pyšní úctyhodným věkem tisíc let. Podle pověsti právě u něj potkal kníže Oldřich dívku z chudých poměrů </w:t>
      </w:r>
      <w:r w:rsidDel="00000000" w:rsidR="00000000" w:rsidRPr="00000000">
        <w:rPr>
          <w:rFonts w:ascii="Arial" w:cs="Arial" w:eastAsia="Arial" w:hAnsi="Arial"/>
          <w:color w:val="474747"/>
          <w:sz w:val="21"/>
          <w:szCs w:val="21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Boženu.</w:t>
      </w:r>
    </w:p>
    <w:p w:rsidR="00000000" w:rsidDel="00000000" w:rsidP="00000000" w:rsidRDefault="00000000" w:rsidRPr="00000000" w14:paraId="0000000D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 barokního kostela ve Skviříně dělá společnost místním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Kostelní dub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který pamatuje třicetiletou válku, obnovenou víru, proměny krajiny i lidských osudů.</w:t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Záhořský dub Ochránce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střeží místní vesnici před hromy a blesky, které by mohly zbloudit mezi domy. Místní jej vnímají jako hrdinu, který svými kořeny drží hráz rybníka ze kterého čerpají vodu v případě požáru.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widowControl w:val="0"/>
        <w:spacing w:line="276" w:lineRule="auto"/>
        <w:ind w:firstLine="567"/>
        <w:jc w:val="both"/>
        <w:rPr>
          <w:rFonts w:ascii="Arial" w:cs="Arial" w:eastAsia="Arial" w:hAnsi="Arial"/>
          <w:sz w:val="34"/>
          <w:szCs w:val="34"/>
        </w:rPr>
      </w:pPr>
      <w:bookmarkStart w:colFirst="0" w:colLast="0" w:name="_heading=h.fhv6fqy9pdh1" w:id="3"/>
      <w:bookmarkEnd w:id="3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Dámy a ostatní pánové</w:t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Zelená kráska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Vrba v Brdatkách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která roste na vodní hladině rybníka nedaleko Berouna, je již neodmyslitelnou součástí tamějšího kulturního dění. Stejně tak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Hruška na Radovách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ze Zlínského kraje, u které se místní pravidelně setkávají k oslavám příchodu nového roku.</w:t>
      </w:r>
    </w:p>
    <w:p w:rsidR="00000000" w:rsidDel="00000000" w:rsidP="00000000" w:rsidRDefault="00000000" w:rsidRPr="00000000" w14:paraId="00000011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Herbenův topol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propojuje nejen vsi Morkůvky a Brumovice, ale také lidi a jejich osudy napříč generacemi. Podobně jako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Hápův javor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 Pusté Kamenice, neskrývá jen příběhy přírody, ale i tragické okamžiky lidské historie.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widowControl w:val="0"/>
        <w:spacing w:line="276" w:lineRule="auto"/>
        <w:ind w:firstLine="567"/>
        <w:jc w:val="both"/>
        <w:rPr>
          <w:rFonts w:ascii="Arial" w:cs="Arial" w:eastAsia="Arial" w:hAnsi="Arial"/>
          <w:sz w:val="34"/>
          <w:szCs w:val="34"/>
        </w:rPr>
      </w:pPr>
      <w:bookmarkStart w:colFirst="0" w:colLast="0" w:name="_heading=h.y1lev0c0514a" w:id="4"/>
      <w:bookmarkEnd w:id="4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Detaily soutěže a časový harmonogram</w:t>
      </w:r>
    </w:p>
    <w:p w:rsidR="00000000" w:rsidDel="00000000" w:rsidP="00000000" w:rsidRDefault="00000000" w:rsidRPr="00000000" w14:paraId="00000013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 vysvětluje koordinátorka soutěže Kateřina Bolečková z Nadace Partnerství: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„Také v letošním, již 24. ročníku ankety, je hlasování pro veřejnost zdarma. Každý z deseti finalistů má za sebou silný příběh i historii, které propojují komunity s místem, kde žijí. Věříme, že si každý mezi pestrou desítkou najde svého stromového favorita a pomůže mu svým hlasem vystoupat až na piedestal vítězů, kde na něj čeká zasloužené odborné ošetření.“</w:t>
      </w:r>
    </w:p>
    <w:p w:rsidR="00000000" w:rsidDel="00000000" w:rsidP="00000000" w:rsidRDefault="00000000" w:rsidRPr="00000000" w14:paraId="00000014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„V Ondrášovce věříme, že opravdové poklady krajiny nejsou jen naše prameny – jsou to také zapomenuté staleté stromy, které tvarují příběhy místních komunit. Jako generální partner ankety s nadšením podporujeme péči o tyto zelené hrdiny – od odborného ošetření přes obnovu poničených lokalit až po finanční program,“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komentuje Karolína Jendřejková, brand manažerka ze společnosti Kofola, pod kterou Ondrášovka spadá.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Hlasování začíná v pondělí 21. července v 8 hodin ráno a pokračuje do 5. října do 23:59.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 posledním hlasovacím týdnu (od 29. září do 5. října) proběhne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"tajné superfinále"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ve kterém budou moci hlasující podpořit pouze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 nejlepších stromů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 předchozích týdnů. Vítěz bude slavnostně vyhlášen na Den stromů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20. října 2025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tradičně na brněnské Hvězdárně a planetáriu.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Akce se koná pod záštitou ministra životního prostředí Petra Hladíka a za podpory Státního fondu životního prostředí. Generálním partnerem ankety je minerální voda Ondrášovka.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7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114300" distT="114300" distL="114300" distR="114300">
            <wp:extent cx="1936437" cy="722401"/>
            <wp:effectExtent b="0" l="0" r="0" t="0"/>
            <wp:docPr id="15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6437" cy="7224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114300" distT="114300" distL="114300" distR="114300">
            <wp:extent cx="2145052" cy="766616"/>
            <wp:effectExtent b="0" l="0" r="0" t="0"/>
            <wp:docPr id="1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5052" cy="766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114300" distT="114300" distL="114300" distR="114300">
            <wp:extent cx="1275067" cy="993457"/>
            <wp:effectExtent b="0" l="0" r="0" t="0"/>
            <wp:docPr id="1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067" cy="993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6" w:type="default"/>
      <w:pgSz w:h="16838" w:w="11906" w:orient="portrait"/>
      <w:pgMar w:bottom="1020" w:top="3288" w:left="1587" w:right="1587" w:header="10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66"/>
        <w:tab w:val="right" w:leader="none" w:pos="873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3744594</wp:posOffset>
          </wp:positionH>
          <wp:positionV relativeFrom="paragraph">
            <wp:posOffset>635</wp:posOffset>
          </wp:positionV>
          <wp:extent cx="1800225" cy="407035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4070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294130" cy="814070"/>
          <wp:effectExtent b="0" l="0" r="0" t="0"/>
          <wp:wrapSquare wrapText="bothSides" distB="0" distT="0" distL="0" distR="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4130" cy="814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InternetLink">
    <w:name w:val="Hyperlink"/>
    <w:rPr>
      <w:color w:val="004a38"/>
      <w:u w:val="single"/>
    </w:rPr>
  </w:style>
  <w:style w:type="character" w:styleId="Napsmalltext">
    <w:name w:val="nap small text"/>
    <w:qFormat w:val="1"/>
    <w:rPr>
      <w:rFonts w:ascii="Montserrat" w:hAnsi="Montserrat"/>
      <w:color w:val="004a38"/>
      <w:sz w:val="15"/>
      <w:lang w:val="cs-CZ"/>
    </w:rPr>
  </w:style>
  <w:style w:type="character" w:styleId="Napfooterlink">
    <w:name w:val="nap footer link"/>
    <w:basedOn w:val="Napsmalltext"/>
    <w:qFormat w:val="1"/>
    <w:rPr>
      <w:rFonts w:ascii="Montserrat" w:hAnsi="Montserrat"/>
      <w:b w:val="0"/>
      <w:bCs w:val="1"/>
      <w:color w:val="004a38"/>
      <w:sz w:val="15"/>
      <w:u w:val="none"/>
      <w:lang w:val="cs-CZ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Droid Sans Devanagari" w:eastAsia="Source Han Sans CN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Droid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Droid Sans Devanagari"/>
    </w:rPr>
  </w:style>
  <w:style w:type="paragraph" w:styleId="HeaderandFooter">
    <w:name w:val="Header and Footer"/>
    <w:basedOn w:val="Normal"/>
    <w:qFormat w:val="1"/>
    <w:pPr>
      <w:suppressLineNumbers w:val="1"/>
      <w:tabs>
        <w:tab w:val="clear" w:pos="567"/>
        <w:tab w:val="center" w:leader="none" w:pos="4366"/>
        <w:tab w:val="right" w:leader="none" w:pos="8732"/>
      </w:tabs>
    </w:pPr>
    <w:rPr/>
  </w:style>
  <w:style w:type="paragraph" w:styleId="Header">
    <w:name w:val="Header"/>
    <w:basedOn w:val="HeaderandFooter"/>
    <w:pPr>
      <w:suppressLineNumbers w:val="1"/>
    </w:pPr>
    <w:rPr/>
  </w:style>
  <w:style w:type="paragraph" w:styleId="Footer">
    <w:name w:val="Footer"/>
    <w:basedOn w:val="HeaderandFooter"/>
    <w:pPr>
      <w:suppressLineNumbers w:val="1"/>
    </w:pPr>
    <w:rPr/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Napparagraph">
    <w:name w:val="nap paragraph"/>
    <w:basedOn w:val="Normal"/>
    <w:qFormat w:val="1"/>
    <w:pPr>
      <w:keepNext w:val="0"/>
      <w:keepLines w:val="0"/>
      <w:widowControl w:val="0"/>
      <w:pBdr/>
      <w:tabs>
        <w:tab w:val="clear" w:pos="567"/>
      </w:tabs>
      <w:spacing w:after="227" w:before="0" w:line="276" w:lineRule="auto"/>
      <w:ind w:left="0" w:right="0" w:firstLine="567"/>
      <w:jc w:val="both"/>
    </w:pPr>
    <w:rPr>
      <w:rFonts w:ascii="Montserrat" w:hAnsi="Montserrat"/>
      <w:sz w:val="20"/>
      <w:lang w:val="cs-CZ"/>
    </w:rPr>
  </w:style>
  <w:style w:type="paragraph" w:styleId="Napsign">
    <w:name w:val="nap sign"/>
    <w:basedOn w:val="Napparagraph"/>
    <w:qFormat w:val="1"/>
    <w:pPr>
      <w:spacing w:after="227" w:before="567"/>
      <w:ind w:left="567" w:right="0" w:hanging="0"/>
      <w:jc w:val="left"/>
    </w:pPr>
    <w:rPr/>
  </w:style>
  <w:style w:type="paragraph" w:styleId="Napfirstline">
    <w:name w:val="nap first line"/>
    <w:basedOn w:val="Napparagraph"/>
    <w:qFormat w:val="1"/>
    <w:pPr>
      <w:spacing w:after="567" w:before="0"/>
      <w:ind w:left="0" w:right="0" w:hanging="0"/>
    </w:pPr>
    <w:rPr/>
  </w:style>
  <w:style w:type="paragraph" w:styleId="Napfirstparagraph">
    <w:name w:val="nap first paragraph"/>
    <w:basedOn w:val="Napparagraph"/>
    <w:qFormat w:val="1"/>
    <w:pPr>
      <w:ind w:left="0" w:right="0" w:hanging="0"/>
    </w:pPr>
    <w:rPr/>
  </w:style>
  <w:style w:type="paragraph" w:styleId="FrameContents">
    <w:name w:val="Frame Contents"/>
    <w:basedOn w:val="Normal"/>
    <w:qFormat w:val="1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BaTs2VtkRvQ" TargetMode="External"/><Relationship Id="rId10" Type="http://schemas.openxmlformats.org/officeDocument/2006/relationships/hyperlink" Target="https://drive.google.com/drive/folders/14wuIza7YBzomFEFcYrcBUk-25YkHTe0G?usp=sharing" TargetMode="External"/><Relationship Id="rId13" Type="http://schemas.openxmlformats.org/officeDocument/2006/relationships/image" Target="media/image1.gif"/><Relationship Id="rId12" Type="http://schemas.openxmlformats.org/officeDocument/2006/relationships/hyperlink" Target="https://docs.google.com/spreadsheets/d/1VVq6lb2Ub1Pdzoi8I2he8k83N8PeikMH/edit?usp=sharing&amp;ouid=115804931566309182627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roown.eu" TargetMode="External"/><Relationship Id="rId15" Type="http://schemas.openxmlformats.org/officeDocument/2006/relationships/image" Target="media/image4.jpg"/><Relationship Id="rId14" Type="http://schemas.openxmlformats.org/officeDocument/2006/relationships/image" Target="media/image5.jp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tromroku.cz" TargetMode="External"/><Relationship Id="rId8" Type="http://schemas.openxmlformats.org/officeDocument/2006/relationships/hyperlink" Target="https://prostrom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zsd1rk6NlxIbUeb/8IwKmlffw==">CgMxLjAyDmgubHZ3eXFkNHg0NnNpMg5oLjI4enBoYmdtMzNzbzIOaC5nb2NvYjJiN3c3aGUyDmguZmh2NmZxeTlwZGgxMg5oLnkxbGV2MGMwNTE0YTgAai0KFHN1Z2dlc3QuYndma2tpejRtbWRkEhVLYXRlxZlpbmEgQm9sZcSNa292w6FyITFqcU4wU01ESzN2MWZIeWd0SkV5VjJzc29OVHZlTGh6LQ==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2023-11-22T17:59:21Z</dcterms:created>
</cp:coreProperties>
</file>